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5E2F" w:rsidRDefault="00BC5E2F" w:rsidP="00BC5E2F">
      <w:pPr>
        <w:jc w:val="center"/>
        <w:rPr>
          <w:b/>
          <w:u w:val="single"/>
        </w:rPr>
      </w:pPr>
      <w:r>
        <w:rPr>
          <w:b/>
          <w:u w:val="single"/>
        </w:rPr>
        <w:t>Anexo I</w:t>
      </w:r>
    </w:p>
    <w:p w:rsidR="00BC5E2F" w:rsidRDefault="00BC5E2F" w:rsidP="00BC5E2F">
      <w:pPr>
        <w:jc w:val="center"/>
        <w:rPr>
          <w:b/>
        </w:rPr>
      </w:pPr>
      <w:r>
        <w:rPr>
          <w:b/>
        </w:rPr>
        <w:t>Comentarios al Contrato Tipo de prestación del Servicio Público Móvil Prepago (“</w:t>
      </w:r>
      <w:r>
        <w:rPr>
          <w:b/>
          <w:i/>
          <w:u w:val="single"/>
        </w:rPr>
        <w:t>Contrato Tipo</w:t>
      </w:r>
      <w:r>
        <w:rPr>
          <w:b/>
        </w:rPr>
        <w:t>”)</w:t>
      </w:r>
    </w:p>
    <w:p w:rsidR="00BC5E2F" w:rsidRDefault="00BC5E2F" w:rsidP="00BC5E2F">
      <w:pPr>
        <w:rPr>
          <w:b/>
          <w:u w:val="single"/>
        </w:rPr>
      </w:pP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035"/>
        <w:gridCol w:w="4965"/>
      </w:tblGrid>
      <w:tr w:rsidR="00BC5E2F" w:rsidTr="00B02FBC">
        <w:tc>
          <w:tcPr>
            <w:tcW w:w="4035" w:type="dxa"/>
            <w:shd w:val="clear" w:color="auto" w:fill="000000"/>
            <w:tcMar>
              <w:top w:w="100" w:type="dxa"/>
              <w:left w:w="100" w:type="dxa"/>
              <w:bottom w:w="100" w:type="dxa"/>
              <w:right w:w="100" w:type="dxa"/>
            </w:tcMar>
          </w:tcPr>
          <w:p w:rsidR="00BC5E2F" w:rsidRDefault="00BC5E2F" w:rsidP="00B02FBC">
            <w:pPr>
              <w:widowControl w:val="0"/>
              <w:spacing w:line="240" w:lineRule="auto"/>
              <w:jc w:val="center"/>
              <w:rPr>
                <w:b/>
                <w:color w:val="FFFFFF"/>
              </w:rPr>
            </w:pPr>
            <w:r>
              <w:rPr>
                <w:b/>
                <w:color w:val="FFFFFF"/>
              </w:rPr>
              <w:t>Cláusula del Contrato Tipo</w:t>
            </w:r>
          </w:p>
        </w:tc>
        <w:tc>
          <w:tcPr>
            <w:tcW w:w="4965" w:type="dxa"/>
            <w:shd w:val="clear" w:color="auto" w:fill="000000"/>
            <w:tcMar>
              <w:top w:w="100" w:type="dxa"/>
              <w:left w:w="100" w:type="dxa"/>
              <w:bottom w:w="100" w:type="dxa"/>
              <w:right w:w="100" w:type="dxa"/>
            </w:tcMar>
          </w:tcPr>
          <w:p w:rsidR="00BC5E2F" w:rsidRDefault="00BC5E2F" w:rsidP="00B02FBC">
            <w:pPr>
              <w:widowControl w:val="0"/>
              <w:spacing w:line="240" w:lineRule="auto"/>
              <w:jc w:val="center"/>
              <w:rPr>
                <w:b/>
                <w:color w:val="FFFFFF"/>
              </w:rPr>
            </w:pPr>
            <w:r>
              <w:rPr>
                <w:b/>
                <w:color w:val="FFFFFF"/>
              </w:rPr>
              <w:t>Comentario de Flash Servicios Perú S.R.L.</w:t>
            </w:r>
          </w:p>
        </w:tc>
      </w:tr>
      <w:tr w:rsidR="00BC5E2F" w:rsidTr="00B02FBC">
        <w:tc>
          <w:tcPr>
            <w:tcW w:w="4035" w:type="dxa"/>
            <w:shd w:val="clear" w:color="auto" w:fill="auto"/>
            <w:tcMar>
              <w:top w:w="100" w:type="dxa"/>
              <w:left w:w="100" w:type="dxa"/>
              <w:bottom w:w="100" w:type="dxa"/>
              <w:right w:w="100" w:type="dxa"/>
            </w:tcMar>
          </w:tcPr>
          <w:p w:rsidR="00BC5E2F" w:rsidRDefault="00BC5E2F" w:rsidP="00B02FBC">
            <w:pPr>
              <w:widowControl w:val="0"/>
              <w:spacing w:line="240" w:lineRule="auto"/>
              <w:rPr>
                <w:b/>
              </w:rPr>
            </w:pPr>
            <w:r>
              <w:rPr>
                <w:b/>
              </w:rPr>
              <w:t>1) ¿Qué estás contratando?</w:t>
            </w:r>
          </w:p>
        </w:tc>
        <w:tc>
          <w:tcPr>
            <w:tcW w:w="4965" w:type="dxa"/>
            <w:shd w:val="clear" w:color="auto" w:fill="auto"/>
            <w:tcMar>
              <w:top w:w="100" w:type="dxa"/>
              <w:left w:w="100" w:type="dxa"/>
              <w:bottom w:w="100" w:type="dxa"/>
              <w:right w:w="100" w:type="dxa"/>
            </w:tcMar>
          </w:tcPr>
          <w:p w:rsidR="00BC5E2F" w:rsidRDefault="00BC5E2F" w:rsidP="00B02FBC">
            <w:pPr>
              <w:widowControl w:val="0"/>
              <w:spacing w:line="240" w:lineRule="auto"/>
            </w:pPr>
            <w:r>
              <w:t>No tenemos comentarios.</w:t>
            </w:r>
          </w:p>
        </w:tc>
      </w:tr>
      <w:tr w:rsidR="00BC5E2F" w:rsidTr="00B02FBC">
        <w:tc>
          <w:tcPr>
            <w:tcW w:w="4035" w:type="dxa"/>
            <w:shd w:val="clear" w:color="auto" w:fill="auto"/>
            <w:tcMar>
              <w:top w:w="100" w:type="dxa"/>
              <w:left w:w="100" w:type="dxa"/>
              <w:bottom w:w="100" w:type="dxa"/>
              <w:right w:w="100" w:type="dxa"/>
            </w:tcMar>
          </w:tcPr>
          <w:p w:rsidR="00BC5E2F" w:rsidRDefault="00BC5E2F" w:rsidP="00B02FBC">
            <w:pPr>
              <w:widowControl w:val="0"/>
              <w:spacing w:line="240" w:lineRule="auto"/>
              <w:rPr>
                <w:b/>
              </w:rPr>
            </w:pPr>
            <w:r>
              <w:rPr>
                <w:b/>
              </w:rPr>
              <w:t>2) Datos del Abonado</w:t>
            </w:r>
          </w:p>
        </w:tc>
        <w:tc>
          <w:tcPr>
            <w:tcW w:w="4965" w:type="dxa"/>
            <w:shd w:val="clear" w:color="auto" w:fill="auto"/>
            <w:tcMar>
              <w:top w:w="100" w:type="dxa"/>
              <w:left w:w="100" w:type="dxa"/>
              <w:bottom w:w="100" w:type="dxa"/>
              <w:right w:w="100" w:type="dxa"/>
            </w:tcMar>
          </w:tcPr>
          <w:p w:rsidR="00BC5E2F" w:rsidRDefault="00BC5E2F" w:rsidP="00B02FBC">
            <w:pPr>
              <w:widowControl w:val="0"/>
              <w:spacing w:line="240" w:lineRule="auto"/>
              <w:jc w:val="both"/>
            </w:pPr>
            <w:r>
              <w:t>Consideramos que se debe evaluar la necesidad de incluir la Cláusula 2 del Contrato Tipo; toda vez que, ello puede significar un retroceso en la agilidad y practicidad de las contrataciones de servicios públicos. Como es de su conocimiento, es necesario agilizar el proceso de transformación digital, entendido como “</w:t>
            </w:r>
            <w:r>
              <w:rPr>
                <w:i/>
              </w:rPr>
              <w:t>la adopción tecnológica y la reinvención de procesos dentro de cualquier organización</w:t>
            </w:r>
            <w:r>
              <w:rPr>
                <w:vertAlign w:val="superscript"/>
              </w:rPr>
              <w:footnoteReference w:id="1"/>
            </w:r>
            <w:r>
              <w:t>”. En ese sentido, a la fecha, queda pendiente permitir y promover la interacción digital entre los usuarios y los operadores de telecomunicaciones, siendo un escenario relevante el de la contratación. Consideramos que la aplicación de contratos estándares facilita y permite que las contrataciones puedan ser realizadas a través de mecanismo digitales, sin que ello implique un descuido en la verificación de la identidad de los usuarios. Por tanto, respetuosamente recomendamos eliminar la Cláusula 2 del Contrato Tipo a fin de permitir que las contrataciones puedan ser realizadas a través de mecanismo digitales.</w:t>
            </w:r>
          </w:p>
        </w:tc>
      </w:tr>
      <w:tr w:rsidR="00BC5E2F" w:rsidTr="00B02FBC">
        <w:tc>
          <w:tcPr>
            <w:tcW w:w="4035" w:type="dxa"/>
            <w:shd w:val="clear" w:color="auto" w:fill="auto"/>
            <w:tcMar>
              <w:top w:w="100" w:type="dxa"/>
              <w:left w:w="100" w:type="dxa"/>
              <w:bottom w:w="100" w:type="dxa"/>
              <w:right w:w="100" w:type="dxa"/>
            </w:tcMar>
          </w:tcPr>
          <w:p w:rsidR="00BC5E2F" w:rsidRDefault="00BC5E2F" w:rsidP="00B02FBC">
            <w:pPr>
              <w:widowControl w:val="0"/>
              <w:spacing w:line="240" w:lineRule="auto"/>
              <w:rPr>
                <w:b/>
              </w:rPr>
            </w:pPr>
            <w:r>
              <w:rPr>
                <w:b/>
              </w:rPr>
              <w:t>3) Servicio contratado</w:t>
            </w:r>
          </w:p>
        </w:tc>
        <w:tc>
          <w:tcPr>
            <w:tcW w:w="4965" w:type="dxa"/>
            <w:shd w:val="clear" w:color="auto" w:fill="auto"/>
            <w:tcMar>
              <w:top w:w="100" w:type="dxa"/>
              <w:left w:w="100" w:type="dxa"/>
              <w:bottom w:w="100" w:type="dxa"/>
              <w:right w:w="100" w:type="dxa"/>
            </w:tcMar>
          </w:tcPr>
          <w:p w:rsidR="00BC5E2F" w:rsidRDefault="00BC5E2F" w:rsidP="00B02FBC">
            <w:pPr>
              <w:widowControl w:val="0"/>
              <w:spacing w:line="240" w:lineRule="auto"/>
              <w:jc w:val="both"/>
            </w:pPr>
            <w:r>
              <w:t>De acuerdo a los artículos 6 y 17 del TUO de las Condiciones de Uso de los Servicios Públicos de Telecomunicaciones, aprobado mediante Resolución de Consejo Directivo No. 138-2012-CD-OSIPTEL (“</w:t>
            </w:r>
            <w:r>
              <w:rPr>
                <w:b/>
                <w:i/>
                <w:u w:val="single"/>
              </w:rPr>
              <w:t>Condiciones de Uso</w:t>
            </w:r>
            <w:r>
              <w:t>”), es obligatorio incluir en el contrato de abonado información sobre las características y limitaciones del servicio ofrecido. Sin embargo, de la revisión de la cláusula 3 del Contrato Tipo, advertimos que no existe una casilla donde se pueda consignar dicha información. En ese sentido, respetuosamente solicitamos se pueda incorporar un espacio adicional a fin de consignar la información correspondiente a las características y limitaciones del servicio ofrecido.</w:t>
            </w:r>
          </w:p>
        </w:tc>
      </w:tr>
      <w:tr w:rsidR="00BC5E2F" w:rsidTr="00B02FBC">
        <w:tc>
          <w:tcPr>
            <w:tcW w:w="4035" w:type="dxa"/>
            <w:shd w:val="clear" w:color="auto" w:fill="auto"/>
            <w:tcMar>
              <w:top w:w="100" w:type="dxa"/>
              <w:left w:w="100" w:type="dxa"/>
              <w:bottom w:w="100" w:type="dxa"/>
              <w:right w:w="100" w:type="dxa"/>
            </w:tcMar>
          </w:tcPr>
          <w:p w:rsidR="00BC5E2F" w:rsidRDefault="00BC5E2F" w:rsidP="00B02FBC">
            <w:pPr>
              <w:widowControl w:val="0"/>
              <w:spacing w:line="240" w:lineRule="auto"/>
              <w:rPr>
                <w:b/>
              </w:rPr>
            </w:pPr>
            <w:r>
              <w:rPr>
                <w:b/>
              </w:rPr>
              <w:t>4) ¿Qué debes saber de tu plan?</w:t>
            </w:r>
          </w:p>
        </w:tc>
        <w:tc>
          <w:tcPr>
            <w:tcW w:w="4965" w:type="dxa"/>
            <w:shd w:val="clear" w:color="auto" w:fill="auto"/>
            <w:tcMar>
              <w:top w:w="100" w:type="dxa"/>
              <w:left w:w="100" w:type="dxa"/>
              <w:bottom w:w="100" w:type="dxa"/>
              <w:right w:w="100" w:type="dxa"/>
            </w:tcMar>
          </w:tcPr>
          <w:p w:rsidR="00BC5E2F" w:rsidRDefault="00BC5E2F" w:rsidP="00B02FBC">
            <w:pPr>
              <w:widowControl w:val="0"/>
              <w:spacing w:line="240" w:lineRule="auto"/>
            </w:pPr>
            <w:r>
              <w:t>No tenemos comentarios.</w:t>
            </w:r>
          </w:p>
        </w:tc>
      </w:tr>
      <w:tr w:rsidR="00BC5E2F" w:rsidTr="00B02FBC">
        <w:tc>
          <w:tcPr>
            <w:tcW w:w="4035" w:type="dxa"/>
            <w:shd w:val="clear" w:color="auto" w:fill="auto"/>
            <w:tcMar>
              <w:top w:w="100" w:type="dxa"/>
              <w:left w:w="100" w:type="dxa"/>
              <w:bottom w:w="100" w:type="dxa"/>
              <w:right w:w="100" w:type="dxa"/>
            </w:tcMar>
          </w:tcPr>
          <w:p w:rsidR="00BC5E2F" w:rsidRDefault="00BC5E2F" w:rsidP="00B02FBC">
            <w:pPr>
              <w:widowControl w:val="0"/>
              <w:spacing w:line="240" w:lineRule="auto"/>
              <w:rPr>
                <w:b/>
              </w:rPr>
            </w:pPr>
            <w:r>
              <w:rPr>
                <w:b/>
              </w:rPr>
              <w:lastRenderedPageBreak/>
              <w:t>5) ¿Qué incluye tu plan?</w:t>
            </w:r>
          </w:p>
        </w:tc>
        <w:tc>
          <w:tcPr>
            <w:tcW w:w="4965" w:type="dxa"/>
            <w:shd w:val="clear" w:color="auto" w:fill="auto"/>
            <w:tcMar>
              <w:top w:w="100" w:type="dxa"/>
              <w:left w:w="100" w:type="dxa"/>
              <w:bottom w:w="100" w:type="dxa"/>
              <w:right w:w="100" w:type="dxa"/>
            </w:tcMar>
          </w:tcPr>
          <w:p w:rsidR="00BC5E2F" w:rsidRDefault="00BC5E2F" w:rsidP="00B02FBC">
            <w:pPr>
              <w:widowControl w:val="0"/>
              <w:spacing w:line="240" w:lineRule="auto"/>
              <w:rPr>
                <w:b/>
                <w:u w:val="single"/>
              </w:rPr>
            </w:pPr>
            <w:r>
              <w:t>No tenemos comentarios.</w:t>
            </w:r>
          </w:p>
        </w:tc>
      </w:tr>
      <w:tr w:rsidR="00BC5E2F" w:rsidTr="00B02FBC">
        <w:tc>
          <w:tcPr>
            <w:tcW w:w="4035" w:type="dxa"/>
            <w:shd w:val="clear" w:color="auto" w:fill="auto"/>
            <w:tcMar>
              <w:top w:w="100" w:type="dxa"/>
              <w:left w:w="100" w:type="dxa"/>
              <w:bottom w:w="100" w:type="dxa"/>
              <w:right w:w="100" w:type="dxa"/>
            </w:tcMar>
          </w:tcPr>
          <w:p w:rsidR="00BC5E2F" w:rsidRDefault="00BC5E2F" w:rsidP="00B02FBC">
            <w:pPr>
              <w:widowControl w:val="0"/>
              <w:spacing w:line="240" w:lineRule="auto"/>
              <w:rPr>
                <w:b/>
              </w:rPr>
            </w:pPr>
            <w:r>
              <w:rPr>
                <w:b/>
              </w:rPr>
              <w:t>6) Precios a los que se consume tu saldo sin paquetes ni bonos libres</w:t>
            </w:r>
          </w:p>
        </w:tc>
        <w:tc>
          <w:tcPr>
            <w:tcW w:w="4965" w:type="dxa"/>
            <w:shd w:val="clear" w:color="auto" w:fill="auto"/>
            <w:tcMar>
              <w:top w:w="100" w:type="dxa"/>
              <w:left w:w="100" w:type="dxa"/>
              <w:bottom w:w="100" w:type="dxa"/>
              <w:right w:w="100" w:type="dxa"/>
            </w:tcMar>
          </w:tcPr>
          <w:p w:rsidR="00BC5E2F" w:rsidRDefault="00BC5E2F" w:rsidP="00B02FBC">
            <w:pPr>
              <w:widowControl w:val="0"/>
              <w:spacing w:line="240" w:lineRule="auto"/>
            </w:pPr>
            <w:r>
              <w:t>No tenemos comentarios.</w:t>
            </w:r>
          </w:p>
        </w:tc>
      </w:tr>
      <w:tr w:rsidR="00BC5E2F" w:rsidTr="00B02FBC">
        <w:tc>
          <w:tcPr>
            <w:tcW w:w="4035" w:type="dxa"/>
            <w:shd w:val="clear" w:color="auto" w:fill="auto"/>
            <w:tcMar>
              <w:top w:w="100" w:type="dxa"/>
              <w:left w:w="100" w:type="dxa"/>
              <w:bottom w:w="100" w:type="dxa"/>
              <w:right w:w="100" w:type="dxa"/>
            </w:tcMar>
          </w:tcPr>
          <w:p w:rsidR="00BC5E2F" w:rsidRDefault="00BC5E2F" w:rsidP="00B02FBC">
            <w:pPr>
              <w:widowControl w:val="0"/>
              <w:spacing w:line="240" w:lineRule="auto"/>
              <w:rPr>
                <w:b/>
              </w:rPr>
            </w:pPr>
            <w:r>
              <w:rPr>
                <w:b/>
              </w:rPr>
              <w:t>7) Recargas y saldo</w:t>
            </w:r>
          </w:p>
        </w:tc>
        <w:tc>
          <w:tcPr>
            <w:tcW w:w="4965" w:type="dxa"/>
            <w:shd w:val="clear" w:color="auto" w:fill="auto"/>
            <w:tcMar>
              <w:top w:w="100" w:type="dxa"/>
              <w:left w:w="100" w:type="dxa"/>
              <w:bottom w:w="100" w:type="dxa"/>
              <w:right w:w="100" w:type="dxa"/>
            </w:tcMar>
          </w:tcPr>
          <w:p w:rsidR="00BC5E2F" w:rsidRDefault="00BC5E2F" w:rsidP="00B02FBC">
            <w:pPr>
              <w:widowControl w:val="0"/>
              <w:spacing w:line="240" w:lineRule="auto"/>
              <w:jc w:val="both"/>
            </w:pPr>
            <w:r>
              <w:rPr>
                <w:b/>
                <w:u w:val="single"/>
              </w:rPr>
              <w:t>Respecto a la vigencia de las recargas</w:t>
            </w:r>
            <w:r>
              <w:rPr>
                <w:b/>
              </w:rPr>
              <w:t>:</w:t>
            </w:r>
            <w:r>
              <w:t xml:space="preserve"> Consideramos importante mencionar que, a la fecha, no existe normativa alguna que haya definido un plazo de vigencia de las recargas. En ese sentido, consideramos que OSIPTEL no puede imponer un plazo mediante el Contrato Tipo; ya que, de hacerlo, estaría imponiendo una obligación que no cuenta con respaldo normativo y, por tanto, estaría ejerciendo una facultad normativa contraviniendo el principio de legalidad.</w:t>
            </w:r>
          </w:p>
          <w:p w:rsidR="00BC5E2F" w:rsidRDefault="00BC5E2F" w:rsidP="00B02FBC">
            <w:pPr>
              <w:widowControl w:val="0"/>
              <w:spacing w:line="240" w:lineRule="auto"/>
              <w:jc w:val="both"/>
            </w:pPr>
          </w:p>
          <w:p w:rsidR="00BC5E2F" w:rsidRDefault="00BC5E2F" w:rsidP="00B02FBC">
            <w:pPr>
              <w:widowControl w:val="0"/>
              <w:spacing w:line="240" w:lineRule="auto"/>
              <w:jc w:val="both"/>
            </w:pPr>
            <w:r>
              <w:t>En efecto, de acuerdo al artículo 23 del Decreto Supremo No. 008-2001-PCM (“</w:t>
            </w:r>
            <w:r>
              <w:rPr>
                <w:b/>
                <w:i/>
                <w:u w:val="single"/>
              </w:rPr>
              <w:t>Reglamento General de OSIPTEL</w:t>
            </w:r>
            <w:r>
              <w:t>”), la facultad normativa es aquella mediante la cual OSIPTEL establece normas que pueden definir obligaciones entre las empresas operadoras y los usuarios. Dicho ello, en el presente caso, es claro que OSIPTEL pretende ejercer su facultad normativa, en la medida que está imponiendo a las empresas operadoras una obligación de instalar el servicio dentro de un plazo máximo de 30 días. Sin embargo, dicha obligación estaría siendo impuesta mediante el Contrato Tipo, cuando el artículo 24 del Reglamento General de OSIPTEL expresamente señala que la “</w:t>
            </w:r>
            <w:r>
              <w:rPr>
                <w:i/>
              </w:rPr>
              <w:t xml:space="preserve">función normativa se ejerce de manera exclusiva por el Consejo Directivo de OSIPTEL a través de la expedición de Resoluciones </w:t>
            </w:r>
            <w:r>
              <w:t>(...)”.</w:t>
            </w:r>
          </w:p>
          <w:p w:rsidR="00BC5E2F" w:rsidRDefault="00BC5E2F" w:rsidP="00B02FBC">
            <w:pPr>
              <w:widowControl w:val="0"/>
              <w:spacing w:line="240" w:lineRule="auto"/>
              <w:jc w:val="both"/>
            </w:pPr>
          </w:p>
          <w:p w:rsidR="00BC5E2F" w:rsidRDefault="00BC5E2F" w:rsidP="00B02FBC">
            <w:pPr>
              <w:widowControl w:val="0"/>
              <w:spacing w:line="240" w:lineRule="auto"/>
              <w:jc w:val="both"/>
            </w:pPr>
            <w:r>
              <w:t>Por tanto, respetuosamente indicamos que el primer párrafo de la cláusula 7 del Contrato Tipo carece de sustento normativo; por lo que, solicitamos se elimine dicha referencia o, en su defecto, se modifique la redacción. Proponemos lo siguiente: “Las recargas te permitirán tener activa tu línea móvil y poder hacer uso del servicio. La vigencia de las recargas dependerán del plan escogido”.</w:t>
            </w:r>
          </w:p>
          <w:p w:rsidR="00BC5E2F" w:rsidRDefault="00BC5E2F" w:rsidP="00B02FBC">
            <w:pPr>
              <w:widowControl w:val="0"/>
              <w:spacing w:line="240" w:lineRule="auto"/>
              <w:jc w:val="both"/>
            </w:pPr>
          </w:p>
          <w:p w:rsidR="00BC5E2F" w:rsidRDefault="00BC5E2F" w:rsidP="00B02FBC">
            <w:pPr>
              <w:widowControl w:val="0"/>
              <w:spacing w:line="240" w:lineRule="auto"/>
              <w:jc w:val="both"/>
            </w:pPr>
            <w:r>
              <w:rPr>
                <w:b/>
                <w:u w:val="single"/>
              </w:rPr>
              <w:t>Respecto a la vigencia del saldo de la recarga</w:t>
            </w:r>
            <w:r>
              <w:rPr>
                <w:b/>
              </w:rPr>
              <w:t>:</w:t>
            </w:r>
            <w:r>
              <w:t xml:space="preserve"> De acuerdo al artículo 112 de las Condiciones de Uso, existen tipos de recargas; por lo que, consideramos necesario modificar la redacción del segundo párrafo de la Cláusula 7 a fin de que dicho texto sea concordante con las Condiciones de Uso.</w:t>
            </w:r>
          </w:p>
        </w:tc>
      </w:tr>
      <w:tr w:rsidR="00BC5E2F" w:rsidTr="00B02FBC">
        <w:tc>
          <w:tcPr>
            <w:tcW w:w="4035" w:type="dxa"/>
            <w:shd w:val="clear" w:color="auto" w:fill="auto"/>
            <w:tcMar>
              <w:top w:w="100" w:type="dxa"/>
              <w:left w:w="100" w:type="dxa"/>
              <w:bottom w:w="100" w:type="dxa"/>
              <w:right w:w="100" w:type="dxa"/>
            </w:tcMar>
          </w:tcPr>
          <w:p w:rsidR="00BC5E2F" w:rsidRDefault="00BC5E2F" w:rsidP="00B02FBC">
            <w:pPr>
              <w:widowControl w:val="0"/>
              <w:spacing w:line="240" w:lineRule="auto"/>
              <w:rPr>
                <w:b/>
              </w:rPr>
            </w:pPr>
            <w:r>
              <w:rPr>
                <w:b/>
              </w:rPr>
              <w:lastRenderedPageBreak/>
              <w:t>8) Derechos y obligaciones</w:t>
            </w:r>
          </w:p>
        </w:tc>
        <w:tc>
          <w:tcPr>
            <w:tcW w:w="4965" w:type="dxa"/>
            <w:shd w:val="clear" w:color="auto" w:fill="auto"/>
            <w:tcMar>
              <w:top w:w="100" w:type="dxa"/>
              <w:left w:w="100" w:type="dxa"/>
              <w:bottom w:w="100" w:type="dxa"/>
              <w:right w:w="100" w:type="dxa"/>
            </w:tcMar>
          </w:tcPr>
          <w:p w:rsidR="00BC5E2F" w:rsidRDefault="00BC5E2F" w:rsidP="00B02FBC">
            <w:pPr>
              <w:widowControl w:val="0"/>
              <w:spacing w:line="240" w:lineRule="auto"/>
              <w:jc w:val="both"/>
            </w:pPr>
            <w:r>
              <w:t>En el artículo 8 de las Condiciones de Uso se establece de manera expresa el tipo de información que las empresas operadoras deben publicar en la sección “Información a Abonados y Usuarios” de su página web. Al respecto, advertimos que la información listada en la Cláusula 8 del Contrato Tipo no concuerda con lo establecido en el artículo mencionado; por lo que, el Contrato Tipo estaría requiriendo incluir información adicional a la establecida en las Condiciones de Uso. Por tanto, respetuosamente solicitamos se modifique la redacción de dicho párrafo de manera tal que sea concordante con el artículo 8 de las Condiciones de Uso.</w:t>
            </w:r>
          </w:p>
        </w:tc>
      </w:tr>
      <w:tr w:rsidR="00BC5E2F" w:rsidTr="00B02FBC">
        <w:tc>
          <w:tcPr>
            <w:tcW w:w="4035" w:type="dxa"/>
            <w:shd w:val="clear" w:color="auto" w:fill="auto"/>
            <w:tcMar>
              <w:top w:w="100" w:type="dxa"/>
              <w:left w:w="100" w:type="dxa"/>
              <w:bottom w:w="100" w:type="dxa"/>
              <w:right w:w="100" w:type="dxa"/>
            </w:tcMar>
          </w:tcPr>
          <w:p w:rsidR="00BC5E2F" w:rsidRDefault="00BC5E2F" w:rsidP="00B02FBC">
            <w:pPr>
              <w:widowControl w:val="0"/>
              <w:spacing w:line="240" w:lineRule="auto"/>
              <w:rPr>
                <w:b/>
              </w:rPr>
            </w:pPr>
            <w:r>
              <w:rPr>
                <w:b/>
              </w:rPr>
              <w:t>9) Modificación del Contrato</w:t>
            </w:r>
          </w:p>
        </w:tc>
        <w:tc>
          <w:tcPr>
            <w:tcW w:w="4965" w:type="dxa"/>
            <w:shd w:val="clear" w:color="auto" w:fill="auto"/>
            <w:tcMar>
              <w:top w:w="100" w:type="dxa"/>
              <w:left w:w="100" w:type="dxa"/>
              <w:bottom w:w="100" w:type="dxa"/>
              <w:right w:w="100" w:type="dxa"/>
            </w:tcMar>
          </w:tcPr>
          <w:p w:rsidR="00BC5E2F" w:rsidRDefault="00BC5E2F" w:rsidP="00B02FBC">
            <w:pPr>
              <w:widowControl w:val="0"/>
              <w:spacing w:line="240" w:lineRule="auto"/>
              <w:jc w:val="both"/>
            </w:pPr>
            <w:r>
              <w:t>Mediante el artículo 9 de las Condiciones de Uso se establecen las causales mediante las cuales la empresa operadora puede modificar el contrato de servicio. Al respecto, como es de su conocimiento, dicho artículo fue recientemente modificado mediante Resolución de Consejo Directivo No. 138-2020-CD-OSIPTEL, ocasión donde se eliminó la obligación de informar al abonado de las modificaciones realizadas al contrato de abonado.</w:t>
            </w:r>
          </w:p>
          <w:p w:rsidR="00BC5E2F" w:rsidRDefault="00BC5E2F" w:rsidP="00B02FBC">
            <w:pPr>
              <w:widowControl w:val="0"/>
              <w:spacing w:line="240" w:lineRule="auto"/>
              <w:jc w:val="both"/>
            </w:pPr>
          </w:p>
          <w:p w:rsidR="00BC5E2F" w:rsidRDefault="00BC5E2F" w:rsidP="00B02FBC">
            <w:pPr>
              <w:widowControl w:val="0"/>
              <w:spacing w:line="240" w:lineRule="auto"/>
              <w:jc w:val="both"/>
            </w:pPr>
            <w:r>
              <w:t>Concordamos con la posición de OSIPTEL de mantener informado al usuario de todos los términos y condiciones de la relación contractual asumida con una empresa operadora; por lo que, consideramos imperativo que la obligación de informar las modificaciones sea plasmada en una norma; ya que, de lo contrario, dicha obligación carece de sustento normativo, no siendo posible ser incluida en el Contrato Tipo.</w:t>
            </w:r>
          </w:p>
        </w:tc>
      </w:tr>
      <w:tr w:rsidR="00BC5E2F" w:rsidTr="00B02FBC">
        <w:tc>
          <w:tcPr>
            <w:tcW w:w="4035" w:type="dxa"/>
            <w:shd w:val="clear" w:color="auto" w:fill="auto"/>
            <w:tcMar>
              <w:top w:w="100" w:type="dxa"/>
              <w:left w:w="100" w:type="dxa"/>
              <w:bottom w:w="100" w:type="dxa"/>
              <w:right w:w="100" w:type="dxa"/>
            </w:tcMar>
          </w:tcPr>
          <w:p w:rsidR="00BC5E2F" w:rsidRDefault="00BC5E2F" w:rsidP="00B02FBC">
            <w:pPr>
              <w:widowControl w:val="0"/>
              <w:spacing w:line="240" w:lineRule="auto"/>
              <w:rPr>
                <w:b/>
              </w:rPr>
            </w:pPr>
            <w:r>
              <w:rPr>
                <w:b/>
              </w:rPr>
              <w:t>10) Baja de tu servicio</w:t>
            </w:r>
          </w:p>
        </w:tc>
        <w:tc>
          <w:tcPr>
            <w:tcW w:w="4965" w:type="dxa"/>
            <w:shd w:val="clear" w:color="auto" w:fill="auto"/>
            <w:tcMar>
              <w:top w:w="100" w:type="dxa"/>
              <w:left w:w="100" w:type="dxa"/>
              <w:bottom w:w="100" w:type="dxa"/>
              <w:right w:w="100" w:type="dxa"/>
            </w:tcMar>
          </w:tcPr>
          <w:p w:rsidR="00BC5E2F" w:rsidRDefault="00BC5E2F" w:rsidP="00B02FBC">
            <w:pPr>
              <w:widowControl w:val="0"/>
              <w:spacing w:line="240" w:lineRule="auto"/>
              <w:jc w:val="both"/>
            </w:pPr>
            <w:r>
              <w:t>De acuerdo a las Condiciones de Uso, las empresas operadoras se encuentran facultadas para dar de baja el servicio cuando exista un uso indebido del servicio, entre otras causales. En ese sentido, consideramos importante incluir una referencia al uso indebido del servicio en el contrato a fin de que el abonado se encuentre debidamente informado de las causales por las cuales se puede dar de baja el servicio.</w:t>
            </w:r>
          </w:p>
        </w:tc>
      </w:tr>
      <w:tr w:rsidR="00BC5E2F" w:rsidTr="00B02FBC">
        <w:tc>
          <w:tcPr>
            <w:tcW w:w="4035" w:type="dxa"/>
            <w:shd w:val="clear" w:color="auto" w:fill="auto"/>
            <w:tcMar>
              <w:top w:w="100" w:type="dxa"/>
              <w:left w:w="100" w:type="dxa"/>
              <w:bottom w:w="100" w:type="dxa"/>
              <w:right w:w="100" w:type="dxa"/>
            </w:tcMar>
          </w:tcPr>
          <w:p w:rsidR="00BC5E2F" w:rsidRDefault="00BC5E2F" w:rsidP="00B02FBC">
            <w:pPr>
              <w:widowControl w:val="0"/>
              <w:spacing w:line="240" w:lineRule="auto"/>
              <w:rPr>
                <w:b/>
              </w:rPr>
            </w:pPr>
            <w:r>
              <w:rPr>
                <w:b/>
              </w:rPr>
              <w:t>11) Baja por falta de recarga</w:t>
            </w:r>
          </w:p>
        </w:tc>
        <w:tc>
          <w:tcPr>
            <w:tcW w:w="4965" w:type="dxa"/>
            <w:shd w:val="clear" w:color="auto" w:fill="auto"/>
            <w:tcMar>
              <w:top w:w="100" w:type="dxa"/>
              <w:left w:w="100" w:type="dxa"/>
              <w:bottom w:w="100" w:type="dxa"/>
              <w:right w:w="100" w:type="dxa"/>
            </w:tcMar>
          </w:tcPr>
          <w:p w:rsidR="00BC5E2F" w:rsidRDefault="00BC5E2F" w:rsidP="00B02FBC">
            <w:pPr>
              <w:widowControl w:val="0"/>
              <w:spacing w:line="240" w:lineRule="auto"/>
            </w:pPr>
            <w:r>
              <w:t>No tenemos comentarios.</w:t>
            </w:r>
          </w:p>
        </w:tc>
      </w:tr>
      <w:tr w:rsidR="00BC5E2F" w:rsidTr="00B02FBC">
        <w:tc>
          <w:tcPr>
            <w:tcW w:w="4035" w:type="dxa"/>
            <w:shd w:val="clear" w:color="auto" w:fill="auto"/>
            <w:tcMar>
              <w:top w:w="100" w:type="dxa"/>
              <w:left w:w="100" w:type="dxa"/>
              <w:bottom w:w="100" w:type="dxa"/>
              <w:right w:w="100" w:type="dxa"/>
            </w:tcMar>
          </w:tcPr>
          <w:p w:rsidR="00BC5E2F" w:rsidRDefault="00BC5E2F" w:rsidP="00B02FBC">
            <w:pPr>
              <w:widowControl w:val="0"/>
              <w:spacing w:line="240" w:lineRule="auto"/>
              <w:rPr>
                <w:b/>
              </w:rPr>
            </w:pPr>
            <w:r>
              <w:rPr>
                <w:b/>
              </w:rPr>
              <w:t>12) Bloqueo de páginas web</w:t>
            </w:r>
          </w:p>
        </w:tc>
        <w:tc>
          <w:tcPr>
            <w:tcW w:w="4965" w:type="dxa"/>
            <w:shd w:val="clear" w:color="auto" w:fill="auto"/>
            <w:tcMar>
              <w:top w:w="100" w:type="dxa"/>
              <w:left w:w="100" w:type="dxa"/>
              <w:bottom w:w="100" w:type="dxa"/>
              <w:right w:w="100" w:type="dxa"/>
            </w:tcMar>
          </w:tcPr>
          <w:p w:rsidR="00BC5E2F" w:rsidRDefault="00BC5E2F" w:rsidP="00B02FBC">
            <w:pPr>
              <w:widowControl w:val="0"/>
              <w:spacing w:line="240" w:lineRule="auto"/>
              <w:jc w:val="both"/>
            </w:pPr>
            <w:r>
              <w:t xml:space="preserve">Consideramos que lo establecido en la Cláusula 11 del Contrato Tipo debe ser regulado en un apartado distinto al contrato de servicios; ya que, el bloqueo de páginas web corresponde a un servicio adicional al servicio público de telecomunicaciones. </w:t>
            </w:r>
          </w:p>
        </w:tc>
      </w:tr>
      <w:tr w:rsidR="00BC5E2F" w:rsidTr="00B02FBC">
        <w:tc>
          <w:tcPr>
            <w:tcW w:w="4035" w:type="dxa"/>
            <w:shd w:val="clear" w:color="auto" w:fill="auto"/>
            <w:tcMar>
              <w:top w:w="100" w:type="dxa"/>
              <w:left w:w="100" w:type="dxa"/>
              <w:bottom w:w="100" w:type="dxa"/>
              <w:right w:w="100" w:type="dxa"/>
            </w:tcMar>
          </w:tcPr>
          <w:p w:rsidR="00BC5E2F" w:rsidRDefault="00BC5E2F" w:rsidP="00B02FBC">
            <w:pPr>
              <w:widowControl w:val="0"/>
              <w:spacing w:line="240" w:lineRule="auto"/>
              <w:rPr>
                <w:b/>
              </w:rPr>
            </w:pPr>
            <w:r>
              <w:rPr>
                <w:b/>
              </w:rPr>
              <w:lastRenderedPageBreak/>
              <w:t>13) Comunícate con la empresa</w:t>
            </w:r>
          </w:p>
        </w:tc>
        <w:tc>
          <w:tcPr>
            <w:tcW w:w="4965" w:type="dxa"/>
            <w:shd w:val="clear" w:color="auto" w:fill="auto"/>
            <w:tcMar>
              <w:top w:w="100" w:type="dxa"/>
              <w:left w:w="100" w:type="dxa"/>
              <w:bottom w:w="100" w:type="dxa"/>
              <w:right w:w="100" w:type="dxa"/>
            </w:tcMar>
          </w:tcPr>
          <w:p w:rsidR="00BC5E2F" w:rsidRDefault="00BC5E2F" w:rsidP="00B02FBC">
            <w:pPr>
              <w:widowControl w:val="0"/>
              <w:spacing w:line="240" w:lineRule="auto"/>
              <w:jc w:val="both"/>
            </w:pPr>
            <w:r>
              <w:t>Consideramos innecesario incluir el detalle establecido en la Cláusula 12 del Contrato Tipo. Adicionalmente, consideramos importante mencionar que no existe normativa alguna que haya establecido la obligación de contar con un número telefónico de WhatsApp; por lo que, en caso se considere mantener dicha cláusula, respetuosamente solicitamos se elimine la referencia al número de WhatsApp, en la medida que dicha obligación carece de sustento normativo.</w:t>
            </w:r>
          </w:p>
        </w:tc>
      </w:tr>
      <w:tr w:rsidR="00BC5E2F" w:rsidTr="00B02FBC">
        <w:tc>
          <w:tcPr>
            <w:tcW w:w="4035" w:type="dxa"/>
            <w:shd w:val="clear" w:color="auto" w:fill="auto"/>
            <w:tcMar>
              <w:top w:w="100" w:type="dxa"/>
              <w:left w:w="100" w:type="dxa"/>
              <w:bottom w:w="100" w:type="dxa"/>
              <w:right w:w="100" w:type="dxa"/>
            </w:tcMar>
          </w:tcPr>
          <w:p w:rsidR="00BC5E2F" w:rsidRDefault="00BC5E2F" w:rsidP="00B02FBC">
            <w:pPr>
              <w:widowControl w:val="0"/>
              <w:spacing w:line="240" w:lineRule="auto"/>
              <w:rPr>
                <w:b/>
              </w:rPr>
            </w:pPr>
            <w:r>
              <w:rPr>
                <w:b/>
              </w:rPr>
              <w:t>14) Uso de tus datos personales</w:t>
            </w:r>
          </w:p>
        </w:tc>
        <w:tc>
          <w:tcPr>
            <w:tcW w:w="4965" w:type="dxa"/>
            <w:shd w:val="clear" w:color="auto" w:fill="auto"/>
            <w:tcMar>
              <w:top w:w="100" w:type="dxa"/>
              <w:left w:w="100" w:type="dxa"/>
              <w:bottom w:w="100" w:type="dxa"/>
              <w:right w:w="100" w:type="dxa"/>
            </w:tcMar>
          </w:tcPr>
          <w:p w:rsidR="00BC5E2F" w:rsidRDefault="00BC5E2F" w:rsidP="00B02FBC">
            <w:pPr>
              <w:widowControl w:val="0"/>
              <w:spacing w:line="240" w:lineRule="auto"/>
            </w:pPr>
            <w:r>
              <w:t>No tenemos comentarios.</w:t>
            </w:r>
          </w:p>
        </w:tc>
      </w:tr>
      <w:tr w:rsidR="00BC5E2F" w:rsidTr="00B02FBC">
        <w:tc>
          <w:tcPr>
            <w:tcW w:w="4035" w:type="dxa"/>
            <w:shd w:val="clear" w:color="auto" w:fill="auto"/>
            <w:tcMar>
              <w:top w:w="100" w:type="dxa"/>
              <w:left w:w="100" w:type="dxa"/>
              <w:bottom w:w="100" w:type="dxa"/>
              <w:right w:w="100" w:type="dxa"/>
            </w:tcMar>
          </w:tcPr>
          <w:p w:rsidR="00BC5E2F" w:rsidRDefault="00BC5E2F" w:rsidP="00B02FBC">
            <w:pPr>
              <w:widowControl w:val="0"/>
              <w:spacing w:line="240" w:lineRule="auto"/>
              <w:rPr>
                <w:b/>
              </w:rPr>
            </w:pPr>
            <w:r>
              <w:rPr>
                <w:b/>
              </w:rPr>
              <w:t>15) Aceptación del contrato</w:t>
            </w:r>
          </w:p>
        </w:tc>
        <w:tc>
          <w:tcPr>
            <w:tcW w:w="4965" w:type="dxa"/>
            <w:shd w:val="clear" w:color="auto" w:fill="auto"/>
            <w:tcMar>
              <w:top w:w="100" w:type="dxa"/>
              <w:left w:w="100" w:type="dxa"/>
              <w:bottom w:w="100" w:type="dxa"/>
              <w:right w:w="100" w:type="dxa"/>
            </w:tcMar>
          </w:tcPr>
          <w:p w:rsidR="00BC5E2F" w:rsidRDefault="00BC5E2F" w:rsidP="00B02FBC">
            <w:pPr>
              <w:widowControl w:val="0"/>
              <w:spacing w:line="240" w:lineRule="auto"/>
            </w:pPr>
            <w:r>
              <w:t>No tenemos comentarios.</w:t>
            </w:r>
          </w:p>
        </w:tc>
      </w:tr>
    </w:tbl>
    <w:p w:rsidR="00BC5E2F" w:rsidRDefault="00BC5E2F" w:rsidP="00BC5E2F">
      <w:pPr>
        <w:jc w:val="both"/>
      </w:pPr>
    </w:p>
    <w:p w:rsidR="00BC5E2F" w:rsidRDefault="00BC5E2F" w:rsidP="00BC5E2F">
      <w:pPr>
        <w:jc w:val="both"/>
      </w:pPr>
    </w:p>
    <w:p w:rsidR="00BC5E2F" w:rsidRDefault="00BC5E2F" w:rsidP="00BC5E2F">
      <w:pPr>
        <w:jc w:val="both"/>
      </w:pPr>
      <w:r>
        <w:rPr>
          <w:b/>
          <w:u w:val="single"/>
        </w:rPr>
        <w:t>Respecto a la necesidad de espacios en blanco</w:t>
      </w:r>
      <w:r>
        <w:rPr>
          <w:b/>
        </w:rPr>
        <w:t>:</w:t>
      </w:r>
      <w:r>
        <w:t xml:space="preserve"> Consideramos necesario que el Contrato Tipo cuente con un espacio disponible para que las empresas operadoras puedan incluir información que consideren relevante. Cabe mencionar que esta preocupación fue trasladada a OSIPTEL desde el momento que se planteó modificar el artículo 17 de las Condiciones de Uso, siendo que en dicha oportunidad OSIPTEL, tanto en el Informe No. 00107-GPRC/2020 como en la respuesta a la Matriz de Comentarios de la Resolución No. 00153-2020-CD/OSIPTEL, manifestó que el Contrato Tipo tendría una sección para incluir condiciones adicionales.</w:t>
      </w:r>
    </w:p>
    <w:p w:rsidR="00BC5E2F" w:rsidRDefault="00BC5E2F" w:rsidP="00BC5E2F">
      <w:pPr>
        <w:jc w:val="both"/>
      </w:pPr>
    </w:p>
    <w:p w:rsidR="00BC5E2F" w:rsidRDefault="00BC5E2F" w:rsidP="00BC5E2F">
      <w:pPr>
        <w:jc w:val="both"/>
      </w:pPr>
      <w:r>
        <w:t xml:space="preserve">Consideramos importante reiterar la necesidad de incluir una sección en blanco; ya que, ello permitirá que el Contrato Tipo no reste flexibilidad a las condiciones contractuales que sean perfectamente legales y requieran ser implementadas por las empresas operadoras. Mantener espacios en blanco para que las partes puedan incluir condiciones específicas del servicio es de vital importancia no solo para atender las necesidades de las partes, sino porque además, las condiciones técnicas de prestación del servicio no son las mismas para todos los operadores y es necesario poder incluir disposiciones que caractericen el servicio u obligaciones propias de cada operador. La inclusión de una sección libre, de ningún modo, será perjudicial para los abonados y, por el contrario, contribuirá a que se encuentren debidamente informados sobre los términos contractuales del mismo. </w:t>
      </w:r>
    </w:p>
    <w:p w:rsidR="00BC5E2F" w:rsidRDefault="00BC5E2F" w:rsidP="00BC5E2F">
      <w:pPr>
        <w:jc w:val="both"/>
      </w:pPr>
    </w:p>
    <w:p w:rsidR="00BC5E2F" w:rsidRDefault="00BC5E2F" w:rsidP="00BC5E2F">
      <w:pPr>
        <w:jc w:val="both"/>
        <w:rPr>
          <w:b/>
          <w:sz w:val="20"/>
          <w:szCs w:val="20"/>
        </w:rPr>
      </w:pPr>
      <w:r>
        <w:t>Cabe mencionar que esta preocupación no es propia de los operadores en el Perú. De hecho, de la experiencia internacional, podemos citar el caso de Colombia, donde si bien el regulador estableció la obligatoriedad de utilizar un contrato tipo, habilitó espacios en blanco para los operadores a fin de que puedan incluir disposiciones que caractericen el servicio u obligaciones de las partes. Por tanto, respetuosamente solicitamos puedan incluir secciones disponibles o espacios en blanco en el Contrato Tipo.</w:t>
      </w:r>
    </w:p>
    <w:p w:rsidR="00BC5E2F" w:rsidRDefault="00BC5E2F" w:rsidP="00BC5E2F">
      <w:pPr>
        <w:jc w:val="both"/>
      </w:pPr>
    </w:p>
    <w:p w:rsidR="00867D75" w:rsidRDefault="00867D75">
      <w:bookmarkStart w:id="0" w:name="_GoBack"/>
      <w:bookmarkEnd w:id="0"/>
    </w:p>
    <w:sectPr w:rsidR="00867D75">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E2F" w:rsidRDefault="00BC5E2F" w:rsidP="00BC5E2F">
      <w:pPr>
        <w:spacing w:line="240" w:lineRule="auto"/>
      </w:pPr>
      <w:r>
        <w:separator/>
      </w:r>
    </w:p>
  </w:endnote>
  <w:endnote w:type="continuationSeparator" w:id="0">
    <w:p w:rsidR="00BC5E2F" w:rsidRDefault="00BC5E2F" w:rsidP="00BC5E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E2F" w:rsidRDefault="00BC5E2F" w:rsidP="00BC5E2F">
      <w:pPr>
        <w:spacing w:line="240" w:lineRule="auto"/>
      </w:pPr>
      <w:r>
        <w:separator/>
      </w:r>
    </w:p>
  </w:footnote>
  <w:footnote w:type="continuationSeparator" w:id="0">
    <w:p w:rsidR="00BC5E2F" w:rsidRDefault="00BC5E2F" w:rsidP="00BC5E2F">
      <w:pPr>
        <w:spacing w:line="240" w:lineRule="auto"/>
      </w:pPr>
      <w:r>
        <w:continuationSeparator/>
      </w:r>
    </w:p>
  </w:footnote>
  <w:footnote w:id="1">
    <w:p w:rsidR="00BC5E2F" w:rsidRDefault="00BC5E2F" w:rsidP="00BC5E2F">
      <w:pPr>
        <w:spacing w:line="240" w:lineRule="auto"/>
        <w:ind w:left="283"/>
        <w:jc w:val="both"/>
        <w:rPr>
          <w:sz w:val="18"/>
          <w:szCs w:val="18"/>
        </w:rPr>
      </w:pPr>
      <w:r>
        <w:rPr>
          <w:vertAlign w:val="superscript"/>
        </w:rPr>
        <w:footnoteRef/>
      </w:r>
      <w:r>
        <w:rPr>
          <w:sz w:val="20"/>
          <w:szCs w:val="20"/>
        </w:rPr>
        <w:t xml:space="preserve"> </w:t>
      </w:r>
      <w:r>
        <w:rPr>
          <w:sz w:val="20"/>
          <w:szCs w:val="20"/>
        </w:rPr>
        <w:tab/>
      </w:r>
      <w:r>
        <w:rPr>
          <w:sz w:val="18"/>
          <w:szCs w:val="18"/>
        </w:rPr>
        <w:t xml:space="preserve">Vacas, Francisco (2018). Transformación digital: del lifting a la reconversión. Revista Tecnología, Ciencia y Educación, No. 10. En: </w:t>
      </w:r>
      <w:hyperlink r:id="rId1">
        <w:r>
          <w:rPr>
            <w:color w:val="1155CC"/>
            <w:sz w:val="18"/>
            <w:szCs w:val="18"/>
            <w:u w:val="single"/>
          </w:rPr>
          <w:t>https://tecnologia-ciencia-educacion.com/index.php/TCE/article/view/199/181</w:t>
        </w:r>
      </w:hyperlink>
      <w:r>
        <w:rPr>
          <w:sz w:val="18"/>
          <w:szCs w:val="18"/>
        </w:rPr>
        <w:t xml:space="preserve">.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5E2F"/>
    <w:rsid w:val="00867D75"/>
    <w:rsid w:val="00BC5E2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C8513D-1DC2-4669-AC3A-11A671EF5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C5E2F"/>
    <w:pPr>
      <w:spacing w:after="0" w:line="276" w:lineRule="auto"/>
    </w:pPr>
    <w:rPr>
      <w:rFonts w:ascii="Arial" w:eastAsia="Arial" w:hAnsi="Arial" w:cs="Arial"/>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tecnologia-ciencia-educacion.com/index.php/TCE/article/view/199/181"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1391</Words>
  <Characters>7653</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Matilde Gonzalez Villanueva</dc:creator>
  <cp:keywords/>
  <dc:description/>
  <cp:lastModifiedBy>Matilde Gonzalez Villanueva</cp:lastModifiedBy>
  <cp:revision>1</cp:revision>
  <dcterms:created xsi:type="dcterms:W3CDTF">2020-12-04T14:18:00Z</dcterms:created>
  <dcterms:modified xsi:type="dcterms:W3CDTF">2020-12-04T14:19:00Z</dcterms:modified>
</cp:coreProperties>
</file>